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</w:pPr>
      <w:r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  <w:t>MINISTERE DE LA COMMUNAUTE FRANCAISE</w:t>
      </w:r>
    </w:p>
    <w:p>
      <w:pPr>
        <w:pStyle w:val="Texte"/>
        <w:jc w:val="center"/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</w:pPr>
    </w:p>
    <w:p>
      <w:pPr>
        <w:pStyle w:val="Texte"/>
        <w:ind w:right="-109"/>
        <w:jc w:val="center"/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</w:pPr>
      <w:r>
        <w:rPr>
          <w:rFonts w:ascii="Times New Roman" w:hAnsi="Times New Roman" w:cs="Times New Roman"/>
          <w:b/>
          <w:bCs/>
          <w:noProof w:val="0"/>
          <w:lang w:val="fr-FR"/>
        </w:rPr>
        <w:t>ADMINISTRATION GENERALE DE L’ENSEIGNEMENT</w:t>
      </w:r>
    </w:p>
    <w:p>
      <w:pPr>
        <w:pStyle w:val="Texte"/>
        <w:ind w:right="-199"/>
        <w:jc w:val="center"/>
        <w:rPr>
          <w:rFonts w:ascii="Times New Roman" w:hAnsi="Times New Roman" w:cs="Times New Roman"/>
          <w:noProof w:val="0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</w:pPr>
      <w:r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  <w:t>ENSEIGNEMENT DE PROMOTION SOCIALE</w:t>
      </w:r>
    </w:p>
    <w:p/>
    <w:p/>
    <w:p/>
    <w:p/>
    <w:p/>
    <w:p/>
    <w:p/>
    <w:p/>
    <w:p/>
    <w:p/>
    <w:p/>
    <w:p/>
    <w:p/>
    <w:p/>
    <w:p/>
    <w:p/>
    <w:p/>
    <w:p/>
    <w:p/>
    <w:p>
      <w:pPr>
        <w:pStyle w:val="Texte"/>
        <w:ind w:left="2269" w:right="2602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</w:pPr>
    </w:p>
    <w:p>
      <w:pPr>
        <w:pStyle w:val="Texte"/>
        <w:ind w:right="-1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  <w:t>DOSSIER PEDAGOGIQUE</w:t>
      </w:r>
    </w:p>
    <w:p>
      <w:pPr>
        <w:pStyle w:val="Texte"/>
        <w:ind w:left="2269" w:right="2602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</w:pPr>
    </w:p>
    <w:p/>
    <w:p/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UNITE D’ENSEIGNEMENT</w:t>
      </w: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pStyle w:val="Corpsdetexte"/>
        <w:rPr>
          <w:sz w:val="32"/>
          <w:szCs w:val="32"/>
        </w:rPr>
      </w:pPr>
      <w:r>
        <w:rPr>
          <w:sz w:val="32"/>
          <w:szCs w:val="32"/>
        </w:rPr>
        <w:t>COMMUNICATION APPLIQUEE AU TRANSPORT AMBULANCIER (CONVENTION)</w:t>
      </w:r>
    </w:p>
    <w:p>
      <w:pPr>
        <w:pStyle w:val="Corpsdetexte"/>
        <w:rPr>
          <w:sz w:val="32"/>
          <w:szCs w:val="32"/>
        </w:rPr>
      </w:pPr>
    </w:p>
    <w:p>
      <w:pPr>
        <w:pStyle w:val="Corpsdetexte"/>
        <w:rPr>
          <w:sz w:val="32"/>
          <w:szCs w:val="32"/>
        </w:rPr>
      </w:pPr>
    </w:p>
    <w:p>
      <w:pPr>
        <w:jc w:val="center"/>
      </w:pPr>
    </w:p>
    <w:p>
      <w:pPr>
        <w:pStyle w:val="Texte"/>
        <w:jc w:val="center"/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</w:pPr>
      <w:r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  <w:t xml:space="preserve">ENSEIGNEMENT SECONDAIRE </w:t>
      </w:r>
      <w:r>
        <w:rPr>
          <w:rFonts w:ascii="Times New Roman" w:hAnsi="Times New Roman" w:cs="Times New Roman"/>
          <w:b/>
          <w:bCs/>
          <w:caps/>
          <w:noProof w:val="0"/>
          <w:sz w:val="22"/>
          <w:szCs w:val="22"/>
          <w:lang w:val="fr-FR"/>
        </w:rPr>
        <w:t>superieur de transition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>
        <w:tc>
          <w:tcPr>
            <w:tcW w:w="5529" w:type="dxa"/>
            <w:tcBorders>
              <w:top w:val="single" w:sz="6" w:space="0" w:color="auto"/>
              <w:bottom w:val="nil"/>
            </w:tcBorders>
          </w:tcPr>
          <w:p>
            <w:pPr>
              <w:pStyle w:val="Texte"/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  <w:t xml:space="preserve">CODE : </w:t>
            </w:r>
            <w:r>
              <w:rPr>
                <w:b/>
                <w:sz w:val="22"/>
                <w:szCs w:val="22"/>
              </w:rPr>
              <w:t>82 41 28 U21 V2</w:t>
            </w:r>
          </w:p>
        </w:tc>
      </w:tr>
      <w:tr>
        <w:tc>
          <w:tcPr>
            <w:tcW w:w="5529" w:type="dxa"/>
            <w:tcBorders>
              <w:top w:val="nil"/>
              <w:bottom w:val="nil"/>
            </w:tcBorders>
          </w:tcPr>
          <w:p>
            <w:pPr>
              <w:pStyle w:val="Texte"/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  <w:t>CODE DU DOMAINE DE FORMATION : 803</w:t>
            </w:r>
          </w:p>
        </w:tc>
      </w:tr>
      <w:tr>
        <w:tc>
          <w:tcPr>
            <w:tcW w:w="5529" w:type="dxa"/>
            <w:tcBorders>
              <w:top w:val="nil"/>
              <w:bottom w:val="nil"/>
            </w:tcBorders>
          </w:tcPr>
          <w:p>
            <w:pPr>
              <w:pStyle w:val="Texte"/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  <w:t>DOCUMENT DE REFERENCE INTER-RESEAUX</w:t>
            </w:r>
          </w:p>
          <w:p>
            <w:pPr>
              <w:pStyle w:val="Texte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  <w:lang w:val="fr-FR"/>
              </w:rPr>
            </w:pPr>
          </w:p>
        </w:tc>
      </w:tr>
      <w:tr>
        <w:tc>
          <w:tcPr>
            <w:tcW w:w="5529" w:type="dxa"/>
            <w:tcBorders>
              <w:top w:val="nil"/>
              <w:bottom w:val="single" w:sz="6" w:space="0" w:color="auto"/>
            </w:tcBorders>
          </w:tcPr>
          <w:p>
            <w:pPr>
              <w:pStyle w:val="Texte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</w:rPr>
      </w:pPr>
      <w:r>
        <w:rPr>
          <w:b/>
        </w:rPr>
        <w:t>Approbation du Gouvernement de la Communauté française du  13 juillet 2020</w:t>
      </w:r>
      <w:bookmarkStart w:id="0" w:name="_GoBack"/>
      <w:bookmarkEnd w:id="0"/>
      <w:r>
        <w:rPr>
          <w:b/>
        </w:rPr>
        <w:t>,  </w:t>
      </w:r>
    </w:p>
    <w:p>
      <w:pPr>
        <w:jc w:val="center"/>
        <w:rPr>
          <w:b/>
        </w:rPr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du Conseil général</w:t>
      </w:r>
    </w:p>
    <w:p>
      <w:pPr>
        <w:jc w:val="center"/>
        <w:rPr>
          <w:b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>
        <w:tc>
          <w:tcPr>
            <w:tcW w:w="9212" w:type="dxa"/>
            <w:tcBorders>
              <w:top w:val="single" w:sz="6" w:space="0" w:color="auto"/>
              <w:bottom w:val="single" w:sz="36" w:space="0" w:color="auto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pStyle w:val="Corpsdetex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COMMUNICATION APPLIQUEE AU TRANSPORT AMBULANCIER (CONVENTION) 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pStyle w:val="Texte"/>
              <w:jc w:val="center"/>
              <w:rPr>
                <w:rFonts w:ascii="Times New Roman" w:hAnsi="Times New Roman" w:cs="Times New Roman"/>
                <w:b/>
                <w:bCs/>
                <w:noProof w:val="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lang w:val="fr-FR"/>
              </w:rPr>
              <w:t xml:space="preserve">ENSEIGNEMENT SECONDAIRE </w:t>
            </w:r>
            <w:r>
              <w:rPr>
                <w:rFonts w:ascii="Times New Roman" w:hAnsi="Times New Roman" w:cs="Times New Roman"/>
                <w:b/>
                <w:bCs/>
                <w:caps/>
                <w:noProof w:val="0"/>
                <w:lang w:val="fr-FR"/>
              </w:rPr>
              <w:t>superieur de TRANSITION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/>
    <w:p>
      <w:pPr>
        <w:spacing w:after="120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ab/>
        <w:t>FINALITES DE L'UNITE D’ENSEIGNEMENT</w:t>
      </w:r>
    </w:p>
    <w:p>
      <w:pPr>
        <w:spacing w:after="120"/>
        <w:ind w:left="709" w:hanging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1.1.</w:t>
      </w:r>
      <w:r>
        <w:rPr>
          <w:b/>
          <w:bCs/>
          <w:sz w:val="22"/>
          <w:szCs w:val="22"/>
        </w:rPr>
        <w:tab/>
        <w:t>Finalités générales</w:t>
      </w:r>
    </w:p>
    <w:p>
      <w:pPr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Conformément à l’article 7 du décret de la Communauté française du 16 avril 1991 organisant l’enseignement de promotion sociale, cette unité d’enseignement doit :</w:t>
      </w:r>
    </w:p>
    <w:p>
      <w:pPr>
        <w:numPr>
          <w:ilvl w:val="0"/>
          <w:numId w:val="1"/>
        </w:numPr>
        <w:spacing w:after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concourir à l’épanouissement individuel en promouvant une meilleure insertion professionnelle, sociale et culturelle ;</w:t>
      </w:r>
    </w:p>
    <w:p>
      <w:pPr>
        <w:numPr>
          <w:ilvl w:val="0"/>
          <w:numId w:val="1"/>
        </w:numPr>
        <w:spacing w:after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répondre aux besoins et demandes en formation émanant des entreprises, des administrations, de l’enseignement et d’une manière générale des milieux socio-économiques et culturels.</w:t>
      </w:r>
    </w:p>
    <w:p>
      <w:pPr>
        <w:spacing w:after="120"/>
        <w:ind w:left="709" w:hanging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1.2.</w:t>
      </w:r>
      <w:r>
        <w:rPr>
          <w:b/>
          <w:bCs/>
          <w:sz w:val="22"/>
          <w:szCs w:val="22"/>
        </w:rPr>
        <w:tab/>
        <w:t>Finalités particulières</w:t>
      </w:r>
    </w:p>
    <w:p>
      <w:pPr>
        <w:spacing w:after="120"/>
        <w:ind w:left="709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L’unité d’enseignement vise à faire acquérir et appliquer les principes élémentaires de communication nécessaires à l’exercice du métier d’ambulancier, tels que :</w:t>
      </w:r>
    </w:p>
    <w:p>
      <w:pPr>
        <w:numPr>
          <w:ilvl w:val="0"/>
          <w:numId w:val="1"/>
        </w:numPr>
        <w:spacing w:after="120"/>
        <w:ind w:left="993" w:hanging="28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les mécanismes de la communication verbale et non verbale liés à l’accompagnement relationnel d’un patient ;</w:t>
      </w:r>
    </w:p>
    <w:p>
      <w:pPr>
        <w:numPr>
          <w:ilvl w:val="0"/>
          <w:numId w:val="1"/>
        </w:numPr>
        <w:spacing w:after="120"/>
        <w:ind w:left="993" w:hanging="28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la récolte et la synthèse des informations nécessaires à la prise en charge et au transfert du patient ;</w:t>
      </w:r>
    </w:p>
    <w:p>
      <w:pPr>
        <w:numPr>
          <w:ilvl w:val="0"/>
          <w:numId w:val="1"/>
        </w:numPr>
        <w:spacing w:after="120"/>
        <w:ind w:left="993" w:hanging="28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l’expression orale et écrite liée au transport du patient.</w:t>
      </w:r>
    </w:p>
    <w:p>
      <w:pPr>
        <w:spacing w:after="120"/>
        <w:ind w:left="993"/>
        <w:jc w:val="both"/>
        <w:rPr>
          <w:rFonts w:eastAsia="Times New Roman"/>
          <w:sz w:val="22"/>
          <w:szCs w:val="22"/>
        </w:rPr>
      </w:pPr>
    </w:p>
    <w:p>
      <w:pPr>
        <w:spacing w:after="120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ab/>
        <w:t>CAPACITES PREALABLES REQUISES</w:t>
      </w:r>
    </w:p>
    <w:p>
      <w:pPr>
        <w:numPr>
          <w:ilvl w:val="1"/>
          <w:numId w:val="4"/>
        </w:numPr>
        <w:tabs>
          <w:tab w:val="left" w:pos="851"/>
        </w:tabs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Capacités</w:t>
      </w:r>
    </w:p>
    <w:p>
      <w:pPr>
        <w:tabs>
          <w:tab w:val="num" w:pos="1134"/>
        </w:tabs>
        <w:spacing w:after="120"/>
        <w:ind w:left="709"/>
        <w:jc w:val="both"/>
        <w:rPr>
          <w:rFonts w:eastAsia="SimSun"/>
          <w:b/>
          <w:sz w:val="22"/>
          <w:szCs w:val="22"/>
        </w:rPr>
      </w:pPr>
      <w:r>
        <w:rPr>
          <w:rFonts w:eastAsia="SimSun"/>
          <w:b/>
          <w:sz w:val="22"/>
          <w:szCs w:val="22"/>
        </w:rPr>
        <w:t>En français,</w:t>
      </w:r>
    </w:p>
    <w:p>
      <w:pPr>
        <w:numPr>
          <w:ilvl w:val="0"/>
          <w:numId w:val="3"/>
        </w:numPr>
        <w:tabs>
          <w:tab w:val="clear" w:pos="927"/>
          <w:tab w:val="num" w:pos="1276"/>
        </w:tabs>
        <w:spacing w:after="120"/>
        <w:ind w:left="1276" w:hanging="425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réaliser une synthèse d’un texte écrit (+/- 30 lignes) dans un langage usuel et répondre à des questions sur le fond ;</w:t>
      </w:r>
    </w:p>
    <w:p>
      <w:pPr>
        <w:numPr>
          <w:ilvl w:val="0"/>
          <w:numId w:val="3"/>
        </w:numPr>
        <w:tabs>
          <w:tab w:val="clear" w:pos="927"/>
          <w:tab w:val="num" w:pos="1276"/>
        </w:tabs>
        <w:spacing w:after="120"/>
        <w:ind w:left="1276" w:hanging="425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exprimer oralement de manière cohérente et structurée, un commentaire personnel à propos d’un document ayant trait au secteur professionnel.</w:t>
      </w:r>
    </w:p>
    <w:p>
      <w:pPr>
        <w:tabs>
          <w:tab w:val="num" w:pos="1134"/>
        </w:tabs>
        <w:spacing w:after="120"/>
        <w:ind w:left="709"/>
        <w:jc w:val="both"/>
        <w:rPr>
          <w:rFonts w:eastAsia="SimSun"/>
          <w:b/>
          <w:sz w:val="22"/>
          <w:szCs w:val="22"/>
        </w:rPr>
      </w:pPr>
      <w:r>
        <w:rPr>
          <w:rFonts w:eastAsia="SimSun"/>
          <w:b/>
          <w:sz w:val="22"/>
          <w:szCs w:val="22"/>
        </w:rPr>
        <w:t>En mathématique,</w:t>
      </w:r>
    </w:p>
    <w:p>
      <w:pPr>
        <w:numPr>
          <w:ilvl w:val="0"/>
          <w:numId w:val="3"/>
        </w:numPr>
        <w:tabs>
          <w:tab w:val="clear" w:pos="927"/>
          <w:tab w:val="num" w:pos="1276"/>
        </w:tabs>
        <w:spacing w:after="120"/>
        <w:ind w:left="1276" w:hanging="425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effectuer des calculs mettant en jeu les quatre opérations fondamentales ;</w:t>
      </w:r>
    </w:p>
    <w:p>
      <w:pPr>
        <w:numPr>
          <w:ilvl w:val="0"/>
          <w:numId w:val="3"/>
        </w:numPr>
        <w:tabs>
          <w:tab w:val="clear" w:pos="927"/>
          <w:tab w:val="num" w:pos="1276"/>
        </w:tabs>
        <w:spacing w:after="120"/>
        <w:ind w:left="1276" w:hanging="425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effectuer des pourcentages et appliquer la règle de trois ;</w:t>
      </w:r>
    </w:p>
    <w:p>
      <w:pPr>
        <w:numPr>
          <w:ilvl w:val="0"/>
          <w:numId w:val="3"/>
        </w:numPr>
        <w:tabs>
          <w:tab w:val="clear" w:pos="927"/>
          <w:tab w:val="num" w:pos="1276"/>
        </w:tabs>
        <w:spacing w:after="120"/>
        <w:ind w:left="1276" w:hanging="425"/>
        <w:jc w:val="both"/>
        <w:rPr>
          <w:rFonts w:eastAsia="SimSun"/>
          <w:sz w:val="22"/>
          <w:szCs w:val="22"/>
        </w:rPr>
      </w:pPr>
      <w:r>
        <w:rPr>
          <w:sz w:val="22"/>
          <w:szCs w:val="22"/>
        </w:rPr>
        <w:t>utiliser le système métrique (prise de mesures et conversions) ;</w:t>
      </w:r>
    </w:p>
    <w:p>
      <w:pPr>
        <w:numPr>
          <w:ilvl w:val="0"/>
          <w:numId w:val="3"/>
        </w:numPr>
        <w:tabs>
          <w:tab w:val="clear" w:pos="927"/>
          <w:tab w:val="num" w:pos="1276"/>
        </w:tabs>
        <w:spacing w:after="120"/>
        <w:ind w:left="1276" w:hanging="425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calculer les aires et volumes de formes géométriques simples.</w:t>
      </w:r>
    </w:p>
    <w:p>
      <w:pPr>
        <w:numPr>
          <w:ilvl w:val="1"/>
          <w:numId w:val="4"/>
        </w:numPr>
        <w:tabs>
          <w:tab w:val="left" w:pos="851"/>
        </w:tabs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Titre pouvant en tenir lieu</w:t>
      </w:r>
    </w:p>
    <w:p>
      <w:pPr>
        <w:spacing w:after="12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Certificat de l’enseignement secondaire inférieur ou certificat de l’enseignement secondaire du deuxième degré (CESI ou C2D).</w:t>
      </w:r>
    </w:p>
    <w:p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>
      <w:pPr>
        <w:spacing w:after="120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3.</w:t>
      </w:r>
      <w:r>
        <w:rPr>
          <w:b/>
          <w:sz w:val="22"/>
          <w:szCs w:val="22"/>
        </w:rPr>
        <w:tab/>
        <w:t>ACQUIS D’APPRENTISSAGE</w:t>
      </w:r>
    </w:p>
    <w:p>
      <w:pPr>
        <w:spacing w:after="120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Pour atteindre le seuil de réussite, l’étudiant sera capable : </w:t>
      </w:r>
    </w:p>
    <w:p>
      <w:pPr>
        <w:spacing w:after="120"/>
        <w:ind w:left="426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dans</w:t>
      </w:r>
      <w:proofErr w:type="gramEnd"/>
      <w:r>
        <w:rPr>
          <w:i/>
          <w:sz w:val="22"/>
          <w:szCs w:val="22"/>
        </w:rPr>
        <w:t xml:space="preserve"> le cadre de situations fictives relatives au transport ambulancier,</w:t>
      </w:r>
    </w:p>
    <w:p>
      <w:pPr>
        <w:pStyle w:val="Retraitcorpsdetexte3"/>
        <w:numPr>
          <w:ilvl w:val="0"/>
          <w:numId w:val="7"/>
        </w:numPr>
        <w:spacing w:after="120"/>
        <w:ind w:left="851" w:hanging="425"/>
      </w:pPr>
      <w:r>
        <w:rPr>
          <w:i/>
        </w:rPr>
        <w:t>au départ d’un support de communication verbale et professionnelle,</w:t>
      </w:r>
      <w:r>
        <w:rPr>
          <w:rFonts w:eastAsia="Times New Roman"/>
          <w:i/>
        </w:rPr>
        <w:t xml:space="preserve"> </w:t>
      </w:r>
      <w:r>
        <w:t>d’extraire et de reformuler oralement les éléments essentiels exploitables dans le cadre de son travail ;</w:t>
      </w:r>
    </w:p>
    <w:p>
      <w:pPr>
        <w:pStyle w:val="Retraitcorpsdetexte3"/>
        <w:numPr>
          <w:ilvl w:val="0"/>
          <w:numId w:val="7"/>
        </w:numPr>
        <w:spacing w:after="120"/>
        <w:ind w:left="851" w:hanging="425"/>
      </w:pPr>
      <w:r>
        <w:rPr>
          <w:i/>
        </w:rPr>
        <w:t xml:space="preserve">au départ d’un support de communication écrite et professionnelle, </w:t>
      </w:r>
      <w:r>
        <w:t>de résumer par écrit le contenu essentiel exploitable dans le cadre son travail ;</w:t>
      </w:r>
    </w:p>
    <w:p>
      <w:pPr>
        <w:pStyle w:val="Retraitcorpsdetexte3"/>
        <w:numPr>
          <w:ilvl w:val="0"/>
          <w:numId w:val="7"/>
        </w:numPr>
        <w:spacing w:after="120"/>
        <w:ind w:left="851" w:hanging="425"/>
        <w:rPr>
          <w:iCs/>
        </w:rPr>
      </w:pPr>
      <w:r>
        <w:rPr>
          <w:i/>
        </w:rPr>
        <w:t>lors d’une prise en charge d’un patient</w:t>
      </w:r>
      <w:r>
        <w:t>, d’adapter sa communication verbale et non verbale à la situation.</w:t>
      </w:r>
    </w:p>
    <w:p>
      <w:pPr>
        <w:spacing w:after="120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Pour la détermination du degré de maîtrise, il sera tenu compte des critères suivants :</w:t>
      </w:r>
    </w:p>
    <w:p>
      <w:pPr>
        <w:pStyle w:val="Retraitcorpsdetexte3"/>
        <w:numPr>
          <w:ilvl w:val="0"/>
          <w:numId w:val="7"/>
        </w:numPr>
        <w:spacing w:after="120"/>
        <w:ind w:left="851" w:hanging="425"/>
        <w:rPr>
          <w:color w:val="000000"/>
        </w:rPr>
      </w:pPr>
      <w:r>
        <w:rPr>
          <w:color w:val="000000"/>
        </w:rPr>
        <w:t>le niveau de cohérence : la capacité à établir une majorité de liens logiques pour former un ensemble organisé ;</w:t>
      </w:r>
    </w:p>
    <w:p>
      <w:pPr>
        <w:pStyle w:val="Retraitcorpsdetexte3"/>
        <w:numPr>
          <w:ilvl w:val="0"/>
          <w:numId w:val="7"/>
        </w:numPr>
        <w:spacing w:after="120"/>
        <w:ind w:left="851" w:hanging="425"/>
        <w:rPr>
          <w:color w:val="000000"/>
        </w:rPr>
      </w:pPr>
      <w:r>
        <w:rPr>
          <w:color w:val="000000"/>
        </w:rPr>
        <w:t>le niveau de précision : la clarté et la rigueur au niveau de la terminologie, des concepts et des techniques/principes/modèles ;</w:t>
      </w:r>
    </w:p>
    <w:p>
      <w:pPr>
        <w:pStyle w:val="Retraitcorpsdetexte3"/>
        <w:numPr>
          <w:ilvl w:val="0"/>
          <w:numId w:val="7"/>
        </w:numPr>
        <w:spacing w:after="120"/>
        <w:ind w:left="851" w:hanging="425"/>
        <w:rPr>
          <w:color w:val="000000"/>
        </w:rPr>
      </w:pPr>
      <w:r>
        <w:rPr>
          <w:color w:val="000000"/>
        </w:rPr>
        <w:t>le niveau d’intégration : la capacité à s’approprier des notions, concepts, techniques et démarches en les intégrant dans son analyse, son argumentation, sa pratique ou la recherche de solutions.</w:t>
      </w:r>
    </w:p>
    <w:p>
      <w:pPr>
        <w:spacing w:after="120"/>
        <w:jc w:val="both"/>
        <w:rPr>
          <w:b/>
          <w:bCs/>
          <w:sz w:val="22"/>
          <w:szCs w:val="22"/>
        </w:rPr>
      </w:pPr>
    </w:p>
    <w:p>
      <w:pPr>
        <w:spacing w:after="120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ab/>
        <w:t>PROGRAMME</w:t>
      </w:r>
    </w:p>
    <w:p>
      <w:pPr>
        <w:spacing w:after="120"/>
        <w:ind w:left="284"/>
        <w:jc w:val="both"/>
        <w:rPr>
          <w:b/>
          <w:bCs/>
          <w:sz w:val="22"/>
          <w:szCs w:val="22"/>
        </w:rPr>
      </w:pPr>
      <w:r>
        <w:rPr>
          <w:rFonts w:eastAsia="Times New Roman"/>
          <w:sz w:val="22"/>
          <w:szCs w:val="22"/>
        </w:rPr>
        <w:t>L’étudiant sera capable:</w:t>
      </w:r>
    </w:p>
    <w:p>
      <w:pPr>
        <w:spacing w:after="120"/>
        <w:ind w:left="284"/>
        <w:jc w:val="both"/>
        <w:rPr>
          <w:rFonts w:eastAsia="Times New Roman"/>
          <w:sz w:val="22"/>
          <w:szCs w:val="22"/>
        </w:rPr>
      </w:pPr>
      <w:proofErr w:type="gramStart"/>
      <w:r>
        <w:rPr>
          <w:rFonts w:eastAsia="Times New Roman"/>
          <w:i/>
          <w:sz w:val="22"/>
          <w:szCs w:val="22"/>
        </w:rPr>
        <w:t>à</w:t>
      </w:r>
      <w:proofErr w:type="gramEnd"/>
      <w:r>
        <w:rPr>
          <w:rFonts w:eastAsia="Times New Roman"/>
          <w:i/>
          <w:sz w:val="22"/>
          <w:szCs w:val="22"/>
        </w:rPr>
        <w:t xml:space="preserve"> partir de situations fictives de prise en charge d’un patient dans le cadre du transport ambulancier et au départ de supports de communication professionnelle verbale et écrite</w:t>
      </w:r>
      <w:r>
        <w:rPr>
          <w:rFonts w:eastAsia="Times New Roman"/>
          <w:sz w:val="22"/>
          <w:szCs w:val="22"/>
        </w:rPr>
        <w:t>,</w:t>
      </w:r>
    </w:p>
    <w:p>
      <w:pPr>
        <w:spacing w:after="120"/>
        <w:ind w:left="284"/>
        <w:jc w:val="both"/>
        <w:rPr>
          <w:rFonts w:eastAsia="Times New Roman"/>
          <w:i/>
          <w:sz w:val="22"/>
          <w:szCs w:val="22"/>
        </w:rPr>
      </w:pPr>
      <w:proofErr w:type="gramStart"/>
      <w:r>
        <w:rPr>
          <w:rFonts w:eastAsia="Times New Roman"/>
          <w:i/>
          <w:sz w:val="22"/>
          <w:szCs w:val="22"/>
        </w:rPr>
        <w:t>pour</w:t>
      </w:r>
      <w:proofErr w:type="gramEnd"/>
      <w:r>
        <w:rPr>
          <w:rFonts w:eastAsia="Times New Roman"/>
          <w:i/>
          <w:sz w:val="22"/>
          <w:szCs w:val="22"/>
        </w:rPr>
        <w:t xml:space="preserve"> des messages professionnels (messages radio, rapports, communication avec les patients, les collègues, l’équipe pluridisciplinaire, site web…),</w:t>
      </w:r>
    </w:p>
    <w:p>
      <w:pPr>
        <w:numPr>
          <w:ilvl w:val="0"/>
          <w:numId w:val="9"/>
        </w:numPr>
        <w:spacing w:after="120"/>
        <w:ind w:left="709" w:hanging="425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de décoder, restituer oralement et résumer par écrit les éléments factuels des messages ;</w:t>
      </w:r>
    </w:p>
    <w:p>
      <w:pPr>
        <w:numPr>
          <w:ilvl w:val="0"/>
          <w:numId w:val="9"/>
        </w:numPr>
        <w:spacing w:after="120"/>
        <w:ind w:left="709" w:hanging="425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de décoder la dimension non verbale de ces messages ;</w:t>
      </w:r>
    </w:p>
    <w:p>
      <w:pPr>
        <w:numPr>
          <w:ilvl w:val="0"/>
          <w:numId w:val="9"/>
        </w:numPr>
        <w:spacing w:after="120"/>
        <w:ind w:left="709" w:hanging="425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d’en analyser le contenu pour identifier les éléments implicites ;</w:t>
      </w:r>
    </w:p>
    <w:p>
      <w:pPr>
        <w:numPr>
          <w:ilvl w:val="0"/>
          <w:numId w:val="9"/>
        </w:numPr>
        <w:spacing w:after="120"/>
        <w:ind w:left="709" w:hanging="425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d’échanger à propos des diverses interprétations des messages (distinction faits, sentiments, opinions) ;</w:t>
      </w:r>
    </w:p>
    <w:p>
      <w:pPr>
        <w:numPr>
          <w:ilvl w:val="0"/>
          <w:numId w:val="9"/>
        </w:numPr>
        <w:spacing w:after="120"/>
        <w:ind w:left="709" w:hanging="425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de poser des questions pour clarifier sa compréhension des messages ;</w:t>
      </w:r>
    </w:p>
    <w:p>
      <w:pPr>
        <w:numPr>
          <w:ilvl w:val="0"/>
          <w:numId w:val="9"/>
        </w:numPr>
        <w:spacing w:after="120"/>
        <w:ind w:left="709" w:hanging="425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d’exploiter les principes de l’écoute active et d’empathie ;</w:t>
      </w:r>
    </w:p>
    <w:p>
      <w:pPr>
        <w:numPr>
          <w:ilvl w:val="0"/>
          <w:numId w:val="9"/>
        </w:numPr>
        <w:spacing w:after="120"/>
        <w:ind w:left="709" w:hanging="425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de reformuler les informations à exploiter dans le cadre de son travail ;</w:t>
      </w:r>
    </w:p>
    <w:p>
      <w:pPr>
        <w:numPr>
          <w:ilvl w:val="0"/>
          <w:numId w:val="9"/>
        </w:numPr>
        <w:spacing w:after="120"/>
        <w:ind w:left="709" w:hanging="425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d’exprimer des messages adaptés à l’interlocuteur et facilitant la communication entre les personnes.</w:t>
      </w:r>
    </w:p>
    <w:p>
      <w:pPr>
        <w:pStyle w:val="Retraitcorpsdetexte3"/>
        <w:spacing w:after="120"/>
        <w:rPr>
          <w:b/>
        </w:rPr>
      </w:pPr>
    </w:p>
    <w:p>
      <w:pPr>
        <w:spacing w:after="120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ab/>
        <w:t>CONSTITUTION DES GROUPES OU REGROUPEMENT</w:t>
      </w:r>
    </w:p>
    <w:p>
      <w:pPr>
        <w:spacing w:after="120"/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>Il est recommandé de ne pas constituer des groupes de plus de vingt étudiants.</w:t>
      </w:r>
    </w:p>
    <w:p>
      <w:pPr>
        <w:spacing w:after="120"/>
        <w:ind w:left="420" w:hanging="136"/>
        <w:jc w:val="both"/>
        <w:rPr>
          <w:sz w:val="22"/>
          <w:szCs w:val="22"/>
        </w:rPr>
      </w:pPr>
    </w:p>
    <w:p>
      <w:pPr>
        <w:spacing w:after="120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>
        <w:rPr>
          <w:b/>
          <w:sz w:val="22"/>
          <w:szCs w:val="22"/>
        </w:rPr>
        <w:tab/>
        <w:t>CHARGE(S) DE COURS</w:t>
      </w:r>
    </w:p>
    <w:p>
      <w:pPr>
        <w:spacing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Le chargé de cours sera un enseignant ou un expert.</w:t>
      </w:r>
    </w:p>
    <w:p>
      <w:pPr>
        <w:spacing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L’expert devra justifier de compétences particulières issues d’une expérience professionnelle actualisée en relation avec la charge de cours qui lui est attribuée.</w:t>
      </w:r>
    </w:p>
    <w:p>
      <w:pPr>
        <w:ind w:left="420"/>
        <w:rPr>
          <w:b/>
          <w:bCs/>
          <w:sz w:val="22"/>
          <w:szCs w:val="22"/>
        </w:rPr>
      </w:pPr>
    </w:p>
    <w:p>
      <w:pPr>
        <w:spacing w:after="120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</w:t>
      </w:r>
      <w:r>
        <w:rPr>
          <w:b/>
          <w:bCs/>
          <w:sz w:val="22"/>
          <w:szCs w:val="22"/>
        </w:rPr>
        <w:tab/>
        <w:t>HORAIRE MINIMUM DE L’UNITE DE FORMATION</w:t>
      </w:r>
    </w:p>
    <w:p>
      <w:pPr>
        <w:numPr>
          <w:ilvl w:val="12"/>
          <w:numId w:val="0"/>
        </w:numPr>
        <w:ind w:firstLine="1"/>
        <w:rPr>
          <w:sz w:val="22"/>
          <w:szCs w:val="22"/>
        </w:rPr>
      </w:pPr>
    </w:p>
    <w:tbl>
      <w:tblPr>
        <w:tblW w:w="8859" w:type="dxa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0"/>
        <w:gridCol w:w="1347"/>
        <w:gridCol w:w="1488"/>
        <w:gridCol w:w="1914"/>
      </w:tblGrid>
      <w:tr>
        <w:tc>
          <w:tcPr>
            <w:tcW w:w="41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>
            <w:pPr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7.1. Dénomination du cours</w:t>
            </w:r>
          </w:p>
        </w:tc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Classement du cours</w:t>
            </w:r>
          </w:p>
        </w:tc>
        <w:tc>
          <w:tcPr>
            <w:tcW w:w="1488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 U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Nombre de périodes</w:t>
            </w:r>
          </w:p>
        </w:tc>
      </w:tr>
      <w:tr>
        <w:tc>
          <w:tcPr>
            <w:tcW w:w="411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 professionnelle appliquée au transport ambulancier</w:t>
            </w:r>
          </w:p>
        </w:tc>
        <w:tc>
          <w:tcPr>
            <w:tcW w:w="1347" w:type="dxa"/>
            <w:tcBorders>
              <w:top w:val="single" w:sz="12" w:space="0" w:color="auto"/>
              <w:bottom w:val="single" w:sz="6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488" w:type="dxa"/>
            <w:tcBorders>
              <w:top w:val="single" w:sz="12" w:space="0" w:color="auto"/>
              <w:bottom w:val="single" w:sz="6" w:space="0" w:color="auto"/>
            </w:tcBorders>
          </w:tcPr>
          <w:p>
            <w:pPr>
              <w:ind w:left="-284" w:right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</w:tcPr>
          <w:p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>
        <w:tc>
          <w:tcPr>
            <w:tcW w:w="5457" w:type="dxa"/>
            <w:gridSpan w:val="2"/>
            <w:tcBorders>
              <w:left w:val="single" w:sz="18" w:space="0" w:color="auto"/>
              <w:bottom w:val="single" w:sz="8" w:space="0" w:color="auto"/>
            </w:tcBorders>
          </w:tcPr>
          <w:p>
            <w:pPr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7.2. Part d’autonomie</w:t>
            </w:r>
          </w:p>
        </w:tc>
        <w:tc>
          <w:tcPr>
            <w:tcW w:w="1488" w:type="dxa"/>
            <w:tcBorders>
              <w:bottom w:val="single" w:sz="8" w:space="0" w:color="auto"/>
            </w:tcBorders>
          </w:tcPr>
          <w:p>
            <w:pPr>
              <w:ind w:left="-284" w:right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1914" w:type="dxa"/>
            <w:tcBorders>
              <w:bottom w:val="single" w:sz="8" w:space="0" w:color="auto"/>
              <w:right w:val="single" w:sz="18" w:space="0" w:color="auto"/>
            </w:tcBorders>
          </w:tcPr>
          <w:p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c>
          <w:tcPr>
            <w:tcW w:w="5457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>
            <w:pPr>
              <w:ind w:right="709"/>
              <w:jc w:val="right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ind w:righ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</w:tbl>
    <w:p>
      <w:pPr>
        <w:jc w:val="both"/>
        <w:rPr>
          <w:sz w:val="22"/>
          <w:szCs w:val="22"/>
        </w:rPr>
      </w:pPr>
    </w:p>
    <w:sectPr>
      <w:footerReference w:type="default" r:id="rId7"/>
      <w:pgSz w:w="11906" w:h="16838"/>
      <w:pgMar w:top="1417" w:right="1417" w:bottom="1417" w:left="1417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Serif">
    <w:altName w:val="Cambria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color w:val="0000FF"/>
        <w:sz w:val="18"/>
        <w:szCs w:val="18"/>
      </w:rPr>
    </w:pPr>
    <w:r>
      <w:rPr>
        <w:color w:val="0000FF"/>
        <w:sz w:val="18"/>
        <w:szCs w:val="18"/>
      </w:rPr>
      <w:t>Communication appliquée au transport ambulancier (convention)</w:t>
    </w:r>
    <w:r>
      <w:rPr>
        <w:color w:val="0000FF"/>
        <w:sz w:val="18"/>
        <w:szCs w:val="18"/>
      </w:rPr>
      <w:tab/>
    </w:r>
    <w:sdt>
      <w:sdtPr>
        <w:rPr>
          <w:color w:val="0000FF"/>
          <w:sz w:val="18"/>
          <w:szCs w:val="18"/>
        </w:rPr>
        <w:id w:val="1679072316"/>
        <w:docPartObj>
          <w:docPartGallery w:val="Page Numbers (Bottom of Page)"/>
          <w:docPartUnique/>
        </w:docPartObj>
      </w:sdtPr>
      <w:sdtContent>
        <w:sdt>
          <w:sdtPr>
            <w:rPr>
              <w:color w:val="0000FF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rPr>
                <w:color w:val="0000FF"/>
                <w:sz w:val="18"/>
                <w:szCs w:val="18"/>
              </w:rPr>
              <w:t xml:space="preserve">Page </w:t>
            </w:r>
            <w:r>
              <w:rPr>
                <w:bCs/>
                <w:color w:val="0000FF"/>
                <w:sz w:val="18"/>
                <w:szCs w:val="18"/>
              </w:rPr>
              <w:fldChar w:fldCharType="begin"/>
            </w:r>
            <w:r>
              <w:rPr>
                <w:bCs/>
                <w:color w:val="0000FF"/>
                <w:sz w:val="18"/>
                <w:szCs w:val="18"/>
              </w:rPr>
              <w:instrText>PAGE</w:instrText>
            </w:r>
            <w:r>
              <w:rPr>
                <w:bCs/>
                <w:color w:val="0000FF"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color w:val="0000FF"/>
                <w:sz w:val="18"/>
                <w:szCs w:val="18"/>
              </w:rPr>
              <w:t>4</w:t>
            </w:r>
            <w:r>
              <w:rPr>
                <w:bCs/>
                <w:color w:val="0000FF"/>
                <w:sz w:val="18"/>
                <w:szCs w:val="18"/>
              </w:rPr>
              <w:fldChar w:fldCharType="end"/>
            </w:r>
            <w:r>
              <w:rPr>
                <w:color w:val="0000FF"/>
                <w:sz w:val="18"/>
                <w:szCs w:val="18"/>
              </w:rPr>
              <w:t xml:space="preserve"> sur </w:t>
            </w:r>
            <w:r>
              <w:rPr>
                <w:bCs/>
                <w:color w:val="0000FF"/>
                <w:sz w:val="18"/>
                <w:szCs w:val="18"/>
              </w:rPr>
              <w:fldChar w:fldCharType="begin"/>
            </w:r>
            <w:r>
              <w:rPr>
                <w:bCs/>
                <w:color w:val="0000FF"/>
                <w:sz w:val="18"/>
                <w:szCs w:val="18"/>
              </w:rPr>
              <w:instrText>NUMPAGES</w:instrText>
            </w:r>
            <w:r>
              <w:rPr>
                <w:bCs/>
                <w:color w:val="0000FF"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color w:val="0000FF"/>
                <w:sz w:val="18"/>
                <w:szCs w:val="18"/>
              </w:rPr>
              <w:t>4</w:t>
            </w:r>
            <w:r>
              <w:rPr>
                <w:bCs/>
                <w:color w:val="0000FF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B577D3C"/>
    <w:multiLevelType w:val="hybridMultilevel"/>
    <w:tmpl w:val="5DD2C976"/>
    <w:lvl w:ilvl="0" w:tplc="6A3630FA">
      <w:start w:val="1"/>
      <w:numFmt w:val="bullet"/>
      <w:lvlText w:val=""/>
      <w:lvlJc w:val="left"/>
      <w:pPr>
        <w:tabs>
          <w:tab w:val="num" w:pos="70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657131A"/>
    <w:multiLevelType w:val="hybridMultilevel"/>
    <w:tmpl w:val="17AA268C"/>
    <w:lvl w:ilvl="0" w:tplc="FFFFFFFF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5542B5"/>
    <w:multiLevelType w:val="hybridMultilevel"/>
    <w:tmpl w:val="D42E6172"/>
    <w:lvl w:ilvl="0" w:tplc="DD00CF98">
      <w:numFmt w:val="bullet"/>
      <w:lvlText w:val="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D2F8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3073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EED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DC4A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8E05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E22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867B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363D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4684A"/>
    <w:multiLevelType w:val="multilevel"/>
    <w:tmpl w:val="7AF0E37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4FD13F45"/>
    <w:multiLevelType w:val="hybridMultilevel"/>
    <w:tmpl w:val="954E42F0"/>
    <w:lvl w:ilvl="0" w:tplc="D19E2A28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6C36159"/>
    <w:multiLevelType w:val="hybridMultilevel"/>
    <w:tmpl w:val="D3CCFAB2"/>
    <w:lvl w:ilvl="0" w:tplc="FFFFFFFF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7530A2F"/>
    <w:multiLevelType w:val="hybridMultilevel"/>
    <w:tmpl w:val="D128A0B6"/>
    <w:lvl w:ilvl="0" w:tplc="FFFFFFFF">
      <w:start w:val="1"/>
      <w:numFmt w:val="bullet"/>
      <w:lvlText w:val="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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>
    <w:abstractNumId w:val="6"/>
  </w:num>
  <w:num w:numId="8">
    <w:abstractNumId w:val="7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3522E6E-0E3F-4AD5-9EB2-D9A09C8D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outlineLvl w:val="0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fr-FR" w:eastAsia="x-none"/>
    </w:rPr>
  </w:style>
  <w:style w:type="paragraph" w:customStyle="1" w:styleId="Texte">
    <w:name w:val="Texte"/>
    <w:basedOn w:val="Normal"/>
    <w:uiPriority w:val="99"/>
    <w:rPr>
      <w:rFonts w:ascii="MS Serif" w:hAnsi="MS Serif" w:cs="MS Serif"/>
      <w:noProof/>
      <w:lang w:val="en-US"/>
    </w:rPr>
  </w:style>
  <w:style w:type="paragraph" w:styleId="Corpsdetexte">
    <w:name w:val="Body Text"/>
    <w:basedOn w:val="Normal"/>
    <w:link w:val="CorpsdetexteCar"/>
    <w:uiPriority w:val="99"/>
    <w:pPr>
      <w:jc w:val="center"/>
    </w:pPr>
    <w:rPr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0"/>
      <w:szCs w:val="20"/>
      <w:lang w:val="fr-FR" w:eastAsia="x-none"/>
    </w:rPr>
  </w:style>
  <w:style w:type="paragraph" w:styleId="Corpsdetexte2">
    <w:name w:val="Body Text 2"/>
    <w:basedOn w:val="Normal"/>
    <w:link w:val="Corpsdetexte2Car"/>
    <w:uiPriority w:val="99"/>
    <w:rPr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ascii="Times New Roman" w:hAnsi="Times New Roman" w:cs="Times New Roman"/>
      <w:sz w:val="20"/>
      <w:szCs w:val="20"/>
      <w:lang w:val="fr-FR" w:eastAsia="x-none"/>
    </w:rPr>
  </w:style>
  <w:style w:type="paragraph" w:styleId="Retraitcorpsdetexte3">
    <w:name w:val="Body Text Indent 3"/>
    <w:basedOn w:val="Normal"/>
    <w:link w:val="Retraitcorpsdetexte3Car"/>
    <w:uiPriority w:val="99"/>
    <w:pPr>
      <w:ind w:left="709"/>
      <w:jc w:val="both"/>
    </w:pPr>
    <w:rPr>
      <w:sz w:val="22"/>
      <w:szCs w:val="22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Pr>
      <w:rFonts w:ascii="Times New Roman" w:hAnsi="Times New Roman" w:cs="Times New Roman"/>
      <w:sz w:val="16"/>
      <w:szCs w:val="16"/>
      <w:lang w:val="fr-FR" w:eastAsia="x-none"/>
    </w:rPr>
  </w:style>
  <w:style w:type="paragraph" w:styleId="Retraitcorpsdetexte2">
    <w:name w:val="Body Text Indent 2"/>
    <w:basedOn w:val="Normal"/>
    <w:link w:val="Retraitcorpsdetexte2Car"/>
    <w:uiPriority w:val="99"/>
    <w:pPr>
      <w:ind w:left="426"/>
      <w:jc w:val="both"/>
    </w:pPr>
    <w:rPr>
      <w:sz w:val="22"/>
      <w:szCs w:val="22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Pr>
      <w:rFonts w:ascii="Times New Roman" w:hAnsi="Times New Roman" w:cs="Times New Roman"/>
      <w:sz w:val="20"/>
      <w:szCs w:val="20"/>
      <w:lang w:val="fr-FR" w:eastAsia="x-none"/>
    </w:rPr>
  </w:style>
  <w:style w:type="paragraph" w:styleId="Textedebulles">
    <w:name w:val="Balloon Text"/>
    <w:basedOn w:val="Normal"/>
    <w:link w:val="TextedebullesCar"/>
    <w:uiPriority w:val="9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Pr>
      <w:rFonts w:ascii="Segoe UI" w:hAnsi="Segoe UI" w:cs="Segoe UI"/>
      <w:sz w:val="18"/>
      <w:szCs w:val="18"/>
      <w:lang w:val="x-none" w:eastAsia="fr-BE"/>
    </w:rPr>
  </w:style>
  <w:style w:type="paragraph" w:styleId="Paragraphedeliste">
    <w:name w:val="List Paragraph"/>
    <w:basedOn w:val="Normal"/>
    <w:uiPriority w:val="72"/>
    <w:qFormat/>
    <w:pPr>
      <w:ind w:left="708"/>
    </w:pPr>
  </w:style>
  <w:style w:type="character" w:styleId="Marquedecommentaire">
    <w:name w:val="annotation reference"/>
    <w:basedOn w:val="Policepardfaut"/>
    <w:uiPriority w:val="99"/>
    <w:unhideWhenUsed/>
    <w:rPr>
      <w:sz w:val="16"/>
    </w:rPr>
  </w:style>
  <w:style w:type="paragraph" w:styleId="Commentaire">
    <w:name w:val="annotation text"/>
    <w:basedOn w:val="Normal"/>
    <w:link w:val="CommentaireCar"/>
    <w:uiPriority w:val="99"/>
    <w:unhideWhenUsed/>
    <w:rPr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locked/>
    <w:rPr>
      <w:rFonts w:ascii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  <w:lang w:eastAsia="fr-B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hAnsi="Times New Roman"/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hAnsi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784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CFWB</Company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Luc Hance</dc:creator>
  <cp:lastModifiedBy>goulet02</cp:lastModifiedBy>
  <cp:revision>3</cp:revision>
  <dcterms:created xsi:type="dcterms:W3CDTF">2020-03-30T12:53:00Z</dcterms:created>
  <dcterms:modified xsi:type="dcterms:W3CDTF">2020-08-20T14:30:00Z</dcterms:modified>
</cp:coreProperties>
</file>